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</w:t>
      </w:r>
      <w:r>
        <w:rPr>
          <w:rFonts w:hint="eastAsia" w:ascii="宋体" w:hAnsi="宋体"/>
          <w:sz w:val="32"/>
          <w:szCs w:val="32"/>
          <w:lang w:val="en-US" w:eastAsia="zh-Hans"/>
        </w:rPr>
        <w:t>游戏分发与推广基本要求</w:t>
      </w:r>
      <w:r>
        <w:rPr>
          <w:rFonts w:hint="eastAsia" w:ascii="宋体" w:hAnsi="宋体"/>
          <w:sz w:val="32"/>
          <w:szCs w:val="32"/>
        </w:rPr>
        <w:t>》团体标准征求意见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反馈单</w:t>
      </w:r>
    </w:p>
    <w:p>
      <w:pPr>
        <w:widowControl/>
        <w:spacing w:line="580" w:lineRule="atLeas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                             编号：</w:t>
      </w:r>
    </w:p>
    <w:tbl>
      <w:tblPr>
        <w:tblStyle w:val="2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81"/>
        <w:gridCol w:w="2099"/>
        <w:gridCol w:w="453"/>
        <w:gridCol w:w="1984"/>
        <w:gridCol w:w="23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标准名称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发通知日期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Hans"/>
              </w:rPr>
            </w:pPr>
            <w:r>
              <w:rPr>
                <w:rFonts w:hint="eastAsia" w:ascii="宋体" w:hAnsi="宋体"/>
                <w:kern w:val="0"/>
                <w:lang w:val="en-US" w:eastAsia="zh-Hans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反馈截止日期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Hans"/>
              </w:rPr>
            </w:pPr>
            <w:r>
              <w:rPr>
                <w:rFonts w:hint="eastAsia" w:ascii="宋体" w:hAnsi="宋体"/>
                <w:kern w:val="0"/>
                <w:lang w:val="en-US"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意见反馈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填表人:                      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电话：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传真：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建议、意见及理由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章条编号</w:t>
            </w: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意见及建议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highlight w:val="yellow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highlight w:val="yellow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5" w:hRule="atLeast"/>
          <w:jc w:val="center"/>
        </w:trPr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意见反馈单位</w:t>
            </w: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  月   日</w:t>
            </w:r>
          </w:p>
        </w:tc>
        <w:tc>
          <w:tcPr>
            <w:tcW w:w="4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负责人（签名）</w:t>
            </w: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5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(1) 意见反馈请注明标准草案上的章条编号。</w:t>
            </w:r>
            <w:r>
              <w:rPr>
                <w:rFonts w:hint="eastAsia" w:ascii="宋体" w:hAnsi="宋体"/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（2）如直接在标准草案上修改，请将修改后的标准草案扫描后发送电子版。</w:t>
            </w:r>
          </w:p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（3）建议、意见及理由栏，幅面不够可另附纸。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DF1F53"/>
    <w:rsid w:val="7FDE24F7"/>
    <w:rsid w:val="B6DF1F53"/>
    <w:rsid w:val="BFD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2023-01-10T03:09:00Z</dcterms:created>
  <dc:creator>郑南</dc:creator>
  <cp:lastModifiedBy>问就是不知道</cp:lastModifiedBy>
  <dcterms:modified xsi:type="dcterms:W3CDTF">2023-03-07T16:02:46Z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3CD14B5E53E12F077985BB63E7D6C667</vt:lpwstr>
  </property>
</Properties>
</file>