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D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2FCB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中国音像与数字出版协会团体标准编制工作申请表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43"/>
        <w:gridCol w:w="1701"/>
        <w:gridCol w:w="2460"/>
      </w:tblGrid>
      <w:tr w14:paraId="1B4E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18" w:type="dxa"/>
          </w:tcPr>
          <w:p w14:paraId="2A3F1665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单位</w:t>
            </w:r>
            <w:r>
              <w:rPr>
                <w:rFonts w:ascii="仿宋" w:hAnsi="仿宋" w:eastAsia="仿宋" w:cs="仿宋"/>
                <w:bCs/>
                <w:sz w:val="30"/>
                <w:szCs w:val="30"/>
              </w:rPr>
              <w:t>名称</w:t>
            </w:r>
          </w:p>
        </w:tc>
        <w:tc>
          <w:tcPr>
            <w:tcW w:w="6004" w:type="dxa"/>
            <w:gridSpan w:val="3"/>
          </w:tcPr>
          <w:p w14:paraId="4C88B7BF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 w14:paraId="5A1B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D5D7DB4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地址</w:t>
            </w:r>
          </w:p>
        </w:tc>
        <w:tc>
          <w:tcPr>
            <w:tcW w:w="6004" w:type="dxa"/>
            <w:gridSpan w:val="3"/>
          </w:tcPr>
          <w:p w14:paraId="0FD5107E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 w14:paraId="04FF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3A7EDB4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联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系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Cs/>
                <w:sz w:val="30"/>
                <w:szCs w:val="30"/>
              </w:rPr>
              <w:t>人</w:t>
            </w:r>
          </w:p>
        </w:tc>
        <w:tc>
          <w:tcPr>
            <w:tcW w:w="1843" w:type="dxa"/>
          </w:tcPr>
          <w:p w14:paraId="14AF542C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004FB83D"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职  务</w:t>
            </w:r>
          </w:p>
        </w:tc>
        <w:tc>
          <w:tcPr>
            <w:tcW w:w="2460" w:type="dxa"/>
          </w:tcPr>
          <w:p w14:paraId="677FBAC0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 w14:paraId="7032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73117A3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联系</w:t>
            </w:r>
            <w:r>
              <w:rPr>
                <w:rFonts w:ascii="仿宋" w:hAnsi="仿宋" w:eastAsia="仿宋" w:cs="仿宋"/>
                <w:bCs/>
                <w:sz w:val="30"/>
                <w:szCs w:val="30"/>
              </w:rPr>
              <w:t>电话</w:t>
            </w:r>
          </w:p>
        </w:tc>
        <w:tc>
          <w:tcPr>
            <w:tcW w:w="1843" w:type="dxa"/>
          </w:tcPr>
          <w:p w14:paraId="0BA45E15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4D244097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460" w:type="dxa"/>
          </w:tcPr>
          <w:p w14:paraId="17DD9DD3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 w14:paraId="1568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8" w:type="dxa"/>
          </w:tcPr>
          <w:p w14:paraId="4C1E2E75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邮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箱</w:t>
            </w:r>
          </w:p>
        </w:tc>
        <w:tc>
          <w:tcPr>
            <w:tcW w:w="6004" w:type="dxa"/>
            <w:gridSpan w:val="3"/>
          </w:tcPr>
          <w:p w14:paraId="23633A65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 w14:paraId="4799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1" w:hRule="atLeast"/>
        </w:trPr>
        <w:tc>
          <w:tcPr>
            <w:tcW w:w="2518" w:type="dxa"/>
            <w:vAlign w:val="center"/>
          </w:tcPr>
          <w:p w14:paraId="2BE8E3B1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希望参与</w:t>
            </w:r>
            <w:r>
              <w:rPr>
                <w:rFonts w:ascii="仿宋" w:hAnsi="仿宋" w:eastAsia="仿宋" w:cs="仿宋"/>
                <w:bCs/>
                <w:sz w:val="30"/>
                <w:szCs w:val="30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与</w:t>
            </w:r>
            <w:r>
              <w:rPr>
                <w:rFonts w:ascii="仿宋" w:hAnsi="仿宋" w:eastAsia="仿宋" w:cs="仿宋"/>
                <w:bCs/>
                <w:sz w:val="30"/>
                <w:szCs w:val="30"/>
              </w:rPr>
              <w:t>形式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（可</w:t>
            </w:r>
            <w:r>
              <w:rPr>
                <w:rFonts w:ascii="仿宋" w:hAnsi="仿宋" w:eastAsia="仿宋" w:cs="仿宋"/>
                <w:bCs/>
                <w:sz w:val="30"/>
                <w:szCs w:val="30"/>
              </w:rPr>
              <w:t>多选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）</w:t>
            </w:r>
          </w:p>
          <w:p w14:paraId="420F2467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6004" w:type="dxa"/>
            <w:gridSpan w:val="3"/>
          </w:tcPr>
          <w:p w14:paraId="3AA93CDA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标准名称：</w:t>
            </w:r>
          </w:p>
          <w:p w14:paraId="7FB89DC1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bookmarkStart w:id="0" w:name="OLE_LINK3"/>
            <w:bookmarkStart w:id="1" w:name="OLE_LINK4"/>
            <w:bookmarkStart w:id="2" w:name="OLE_LINK9"/>
            <w:bookmarkStart w:id="3" w:name="OLE_LINK10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数智教育产品</w:t>
            </w:r>
            <w:bookmarkEnd w:id="0"/>
            <w:bookmarkEnd w:id="1"/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第1部分：</w:t>
            </w:r>
            <w:bookmarkEnd w:id="2"/>
            <w:bookmarkEnd w:id="3"/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质量管理指南</w:t>
            </w:r>
          </w:p>
          <w:p w14:paraId="6888E7D4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数智教育产品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第2部分：基本功能要求</w:t>
            </w:r>
          </w:p>
          <w:p w14:paraId="67328D73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数智教育产品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第3部分：资源质量要求</w:t>
            </w:r>
          </w:p>
          <w:p w14:paraId="19696207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数智教育产品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第4部分：标识质量要求</w:t>
            </w:r>
          </w:p>
          <w:p w14:paraId="7AE25392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数智教育产品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第5部分：标识注册规程</w:t>
            </w:r>
          </w:p>
          <w:p w14:paraId="57AD0E9C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数智教育产品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第6部分：质量检测方法</w:t>
            </w:r>
          </w:p>
          <w:p w14:paraId="25165934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数智教育产品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第7部分：服务管理规程</w:t>
            </w:r>
          </w:p>
          <w:p w14:paraId="16E771E8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数智教育产品</w:t>
            </w:r>
            <w:r>
              <w:rPr>
                <w:rFonts w:ascii="仿宋_GB2312" w:hAnsi="微软雅黑" w:eastAsia="仿宋_GB2312" w:cs="宋体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 第8部分：质量合格评定</w:t>
            </w:r>
          </w:p>
          <w:p w14:paraId="192D76D7"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参与形式：</w:t>
            </w:r>
          </w:p>
          <w:p w14:paraId="1EC6F21B"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□参与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标准编写（执笔、资料收集、整理等）</w:t>
            </w:r>
          </w:p>
          <w:p w14:paraId="7D8C4EF6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□提供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资金支持</w:t>
            </w:r>
          </w:p>
          <w:p w14:paraId="0F5F6DB9">
            <w:pPr>
              <w:jc w:val="both"/>
              <w:rPr>
                <w:rFonts w:hint="default" w:ascii="仿宋" w:hAnsi="仿宋" w:eastAsia="仿宋" w:cs="仿宋"/>
                <w:bCs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Hans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其他，请说明：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0C6F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22" w:type="dxa"/>
            <w:gridSpan w:val="4"/>
          </w:tcPr>
          <w:p w14:paraId="703A4BA3">
            <w:pPr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单位意见：</w:t>
            </w:r>
          </w:p>
          <w:p w14:paraId="3C3A67C1">
            <w:pPr>
              <w:jc w:val="both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（公章）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日期：</w:t>
            </w:r>
          </w:p>
        </w:tc>
      </w:tr>
    </w:tbl>
    <w:p w14:paraId="035467AB">
      <w:pPr>
        <w:jc w:val="both"/>
        <w:rPr>
          <w:sz w:val="32"/>
          <w:szCs w:val="40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（表格填写盖章后请扫描发至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中国音像与数字出版协会团体标准化技术委员会联系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邮箱：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cadpa1994@163.com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57"/>
    <w:rsid w:val="00820C57"/>
    <w:rsid w:val="009A05A7"/>
    <w:rsid w:val="0D4815DB"/>
    <w:rsid w:val="176D1177"/>
    <w:rsid w:val="224F429B"/>
    <w:rsid w:val="268E6175"/>
    <w:rsid w:val="2A277B27"/>
    <w:rsid w:val="306A22A0"/>
    <w:rsid w:val="3159659D"/>
    <w:rsid w:val="388008B3"/>
    <w:rsid w:val="3FFF47B3"/>
    <w:rsid w:val="4FE41FCA"/>
    <w:rsid w:val="55D3606E"/>
    <w:rsid w:val="5DE94E30"/>
    <w:rsid w:val="6051259B"/>
    <w:rsid w:val="682664D1"/>
    <w:rsid w:val="684968C4"/>
    <w:rsid w:val="742E0596"/>
    <w:rsid w:val="7BB75BC9"/>
    <w:rsid w:val="7CE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316</Characters>
  <Lines>0</Lines>
  <Paragraphs>0</Paragraphs>
  <TotalTime>1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2022-04-02T08:13:00Z</dcterms:created>
  <dc:creator>思然</dc:creator>
  <cp:lastModifiedBy>传静</cp:lastModifiedBy>
  <cp:lastPrinted>2022-04-06T06:56:00Z</cp:lastPrinted>
  <dcterms:modified xsi:type="dcterms:W3CDTF">2026-05-22T03:08:09Z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FB8E5E8F3D51434BAEFF0B4C20B8B37F_13</vt:lpwstr>
  </property>
  <property fmtid="{D5CDD505-2E9C-101B-9397-08002B2CF9AE}" pid="4" name="KSOTemplateDocerSaveRecord">
    <vt:lpwstr>eyJoZGlkIjoiNzQ2MWQ3MjA0MjUxYTEyZmMzZjIzZTBhMDBkMmFjYjEiLCJ1c2VySWQiOiI2MDEzNTcwMTgifQ==</vt:lpwstr>
  </property>
</Properties>
</file>